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中文Logo：</w:t>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t>普蕾泽智</w:t>
      </w:r>
    </w:p>
    <w:p>
      <w:pPr>
        <w:widowControl/>
        <w:numPr>
          <w:ilvl w:val="0"/>
          <w:numId w:val="0"/>
        </w:numPr>
        <w:spacing w:line="360" w:lineRule="auto"/>
        <w:jc w:val="left"/>
        <w:rPr>
          <w:rFonts w:hint="eastAsia"/>
          <w:sz w:val="24"/>
          <w:szCs w:val="24"/>
          <w:lang w:val="en-US" w:eastAsia="zh-CN"/>
        </w:rPr>
      </w:pPr>
      <w:bookmarkStart w:id="0" w:name="_GoBack"/>
      <w:bookmarkEnd w:id="0"/>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Logo经营范围：</w:t>
      </w:r>
    </w:p>
    <w:p>
      <w:pPr>
        <w:widowControl/>
        <w:numPr>
          <w:ilvl w:val="0"/>
          <w:numId w:val="0"/>
        </w:numPr>
        <w:spacing w:line="360" w:lineRule="auto"/>
        <w:jc w:val="left"/>
        <w:rPr>
          <w:rFonts w:hint="eastAsia"/>
          <w:sz w:val="24"/>
          <w:szCs w:val="24"/>
          <w:lang w:val="en-US" w:eastAsia="zh-CN"/>
        </w:rPr>
      </w:pPr>
      <w:r>
        <w:rPr>
          <w:rFonts w:hint="eastAsia"/>
          <w:b/>
          <w:bCs/>
          <w:sz w:val="24"/>
          <w:szCs w:val="24"/>
          <w:lang w:val="en-US" w:eastAsia="zh-CN"/>
        </w:rPr>
        <w:t>主营业务：</w:t>
      </w:r>
      <w:r>
        <w:rPr>
          <w:rFonts w:hint="eastAsia"/>
          <w:sz w:val="24"/>
          <w:szCs w:val="24"/>
          <w:lang w:val="en-US" w:eastAsia="zh-CN"/>
        </w:rPr>
        <w:t>普蕾教育（游戏治疗）。是以游戏为媒介而展开的、特殊的心理互动和交流，使儿童能表达并疏通其情绪冲突，以解决和调整儿童人格与行为上的问题，使儿童获得成长与发展。我们叫儿童综合素质训练，训练的特点是：寓教于乐，玩中发现。</w:t>
      </w:r>
    </w:p>
    <w:p>
      <w:pPr>
        <w:widowControl/>
        <w:numPr>
          <w:ilvl w:val="0"/>
          <w:numId w:val="0"/>
        </w:numPr>
        <w:spacing w:line="360" w:lineRule="auto"/>
        <w:jc w:val="left"/>
        <w:rPr>
          <w:rFonts w:hint="eastAsia"/>
          <w:sz w:val="24"/>
          <w:szCs w:val="24"/>
          <w:lang w:val="en-US" w:eastAsia="zh-CN"/>
        </w:rPr>
      </w:pPr>
      <w:r>
        <w:rPr>
          <w:rFonts w:hint="eastAsia"/>
          <w:b/>
          <w:bCs/>
          <w:sz w:val="24"/>
          <w:szCs w:val="24"/>
          <w:lang w:val="en-US" w:eastAsia="zh-CN"/>
        </w:rPr>
        <w:t>另一项主营业务：</w:t>
      </w:r>
      <w:r>
        <w:rPr>
          <w:rFonts w:hint="eastAsia"/>
          <w:sz w:val="24"/>
          <w:szCs w:val="24"/>
          <w:lang w:val="en-US" w:eastAsia="zh-CN"/>
        </w:rPr>
        <w:t>心理咨询。指运用心理学的方法，对心理适应方面出现问题并企求解决问题的求询者提供心理援助的过程。咨询师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w:t>
      </w: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标志名称含义：</w:t>
      </w:r>
    </w:p>
    <w:p>
      <w:pPr>
        <w:widowControl/>
        <w:numPr>
          <w:ilvl w:val="0"/>
          <w:numId w:val="0"/>
        </w:numPr>
        <w:spacing w:line="360" w:lineRule="auto"/>
        <w:jc w:val="left"/>
        <w:rPr>
          <w:rFonts w:hint="eastAsia"/>
          <w:sz w:val="24"/>
          <w:szCs w:val="24"/>
          <w:lang w:val="en-US" w:eastAsia="zh-CN"/>
        </w:rPr>
      </w:pPr>
      <w:r>
        <w:rPr>
          <w:rFonts w:hint="eastAsia"/>
          <w:b/>
          <w:bCs/>
          <w:sz w:val="24"/>
          <w:szCs w:val="24"/>
          <w:lang w:val="en-US" w:eastAsia="zh-CN"/>
        </w:rPr>
        <w:t>普蕾：</w:t>
      </w:r>
      <w:r>
        <w:rPr>
          <w:rFonts w:hint="eastAsia"/>
          <w:sz w:val="24"/>
          <w:szCs w:val="24"/>
          <w:lang w:val="en-US" w:eastAsia="zh-CN"/>
        </w:rPr>
        <w:t>PLAY的音译，意指游戏治疗（英文为：play therapy）；</w:t>
      </w:r>
    </w:p>
    <w:p>
      <w:pPr>
        <w:widowControl/>
        <w:numPr>
          <w:ilvl w:val="0"/>
          <w:numId w:val="0"/>
        </w:numPr>
        <w:spacing w:line="360" w:lineRule="auto"/>
        <w:jc w:val="left"/>
        <w:rPr>
          <w:rFonts w:hint="default"/>
          <w:sz w:val="24"/>
          <w:szCs w:val="24"/>
          <w:lang w:val="en-US" w:eastAsia="zh-CN"/>
        </w:rPr>
      </w:pPr>
      <w:r>
        <w:rPr>
          <w:rFonts w:hint="eastAsia"/>
          <w:b/>
          <w:bCs/>
          <w:sz w:val="24"/>
          <w:szCs w:val="24"/>
          <w:lang w:val="en-US" w:eastAsia="zh-CN"/>
        </w:rPr>
        <w:t>泽智：</w:t>
      </w:r>
      <w:r>
        <w:rPr>
          <w:rFonts w:hint="eastAsia"/>
          <w:sz w:val="24"/>
          <w:szCs w:val="24"/>
          <w:lang w:val="en-US" w:eastAsia="zh-CN"/>
        </w:rPr>
        <w:t>英文为benefit wisdom，意为润泽智慧。</w:t>
      </w: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default"/>
          <w:sz w:val="24"/>
          <w:szCs w:val="24"/>
          <w:lang w:val="en-US" w:eastAsia="zh-CN"/>
        </w:rPr>
      </w:pPr>
      <w:r>
        <w:rPr>
          <w:rFonts w:hint="eastAsia"/>
          <w:b/>
          <w:bCs/>
          <w:sz w:val="24"/>
          <w:szCs w:val="24"/>
          <w:lang w:val="en-US" w:eastAsia="zh-CN"/>
        </w:rPr>
        <w:t>标志色彩范围选定：</w:t>
      </w:r>
      <w:r>
        <w:rPr>
          <w:rFonts w:hint="eastAsia"/>
          <w:sz w:val="24"/>
          <w:szCs w:val="24"/>
          <w:lang w:val="en-US" w:eastAsia="zh-CN"/>
        </w:rPr>
        <w:t>深墨绿作为主色系，再加上能活跃的色彩，以下图“A”的墨绿色作为参考。</w:t>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drawing>
          <wp:inline distT="0" distB="0" distL="114300" distR="114300">
            <wp:extent cx="1554480" cy="2073910"/>
            <wp:effectExtent l="0" t="0" r="7620" b="2540"/>
            <wp:docPr id="11" name="图片 11" descr="0e19d60661997e8959371b00c624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e19d60661997e8959371b00c62430f"/>
                    <pic:cNvPicPr>
                      <a:picLocks noChangeAspect="1"/>
                    </pic:cNvPicPr>
                  </pic:nvPicPr>
                  <pic:blipFill>
                    <a:blip r:embed="rId4"/>
                    <a:stretch>
                      <a:fillRect/>
                    </a:stretch>
                  </pic:blipFill>
                  <pic:spPr>
                    <a:xfrm>
                      <a:off x="0" y="0"/>
                      <a:ext cx="1554480" cy="2073910"/>
                    </a:xfrm>
                    <a:prstGeom prst="rect">
                      <a:avLst/>
                    </a:prstGeom>
                  </pic:spPr>
                </pic:pic>
              </a:graphicData>
            </a:graphic>
          </wp:inline>
        </w:drawing>
      </w: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同行业或其它行业标志中比较欣赏哪几个标志：</w:t>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drawing>
          <wp:inline distT="0" distB="0" distL="114300" distR="114300">
            <wp:extent cx="1933575" cy="2085975"/>
            <wp:effectExtent l="0" t="0" r="9525" b="9525"/>
            <wp:docPr id="1" name="图片 1" descr="79f33187bd40fa54ec697a294d1e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f33187bd40fa54ec697a294d1e991"/>
                    <pic:cNvPicPr>
                      <a:picLocks noChangeAspect="1"/>
                    </pic:cNvPicPr>
                  </pic:nvPicPr>
                  <pic:blipFill>
                    <a:blip r:embed="rId5"/>
                    <a:stretch>
                      <a:fillRect/>
                    </a:stretch>
                  </pic:blipFill>
                  <pic:spPr>
                    <a:xfrm>
                      <a:off x="0" y="0"/>
                      <a:ext cx="1933575" cy="2085975"/>
                    </a:xfrm>
                    <a:prstGeom prst="rect">
                      <a:avLst/>
                    </a:prstGeom>
                  </pic:spPr>
                </pic:pic>
              </a:graphicData>
            </a:graphic>
          </wp:inline>
        </w:drawing>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drawing>
          <wp:inline distT="0" distB="0" distL="114300" distR="114300">
            <wp:extent cx="2352675" cy="1400175"/>
            <wp:effectExtent l="0" t="0" r="9525" b="9525"/>
            <wp:docPr id="2" name="图片 2" descr="53d8c72b628ff276bf0dfec0e3ab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d8c72b628ff276bf0dfec0e3abbbe"/>
                    <pic:cNvPicPr>
                      <a:picLocks noChangeAspect="1"/>
                    </pic:cNvPicPr>
                  </pic:nvPicPr>
                  <pic:blipFill>
                    <a:blip r:embed="rId6"/>
                    <a:stretch>
                      <a:fillRect/>
                    </a:stretch>
                  </pic:blipFill>
                  <pic:spPr>
                    <a:xfrm>
                      <a:off x="0" y="0"/>
                      <a:ext cx="2352675" cy="1400175"/>
                    </a:xfrm>
                    <a:prstGeom prst="rect">
                      <a:avLst/>
                    </a:prstGeom>
                  </pic:spPr>
                </pic:pic>
              </a:graphicData>
            </a:graphic>
          </wp:inline>
        </w:drawing>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drawing>
          <wp:inline distT="0" distB="0" distL="114300" distR="114300">
            <wp:extent cx="1990725" cy="1990725"/>
            <wp:effectExtent l="0" t="0" r="9525" b="9525"/>
            <wp:docPr id="8" name="图片 8" descr="72ea734d4787647d0d4b3a3dc5b6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2ea734d4787647d0d4b3a3dc5b643a"/>
                    <pic:cNvPicPr>
                      <a:picLocks noChangeAspect="1"/>
                    </pic:cNvPicPr>
                  </pic:nvPicPr>
                  <pic:blipFill>
                    <a:blip r:embed="rId7"/>
                    <a:stretch>
                      <a:fillRect/>
                    </a:stretch>
                  </pic:blipFill>
                  <pic:spPr>
                    <a:xfrm>
                      <a:off x="0" y="0"/>
                      <a:ext cx="1990725" cy="1990725"/>
                    </a:xfrm>
                    <a:prstGeom prst="rect">
                      <a:avLst/>
                    </a:prstGeom>
                  </pic:spPr>
                </pic:pic>
              </a:graphicData>
            </a:graphic>
          </wp:inline>
        </w:drawing>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drawing>
          <wp:inline distT="0" distB="0" distL="114300" distR="114300">
            <wp:extent cx="2059940" cy="1972945"/>
            <wp:effectExtent l="0" t="0" r="16510" b="8255"/>
            <wp:docPr id="9" name="图片 9" descr="f8ddac0b82b490f9953d50319e4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8ddac0b82b490f9953d50319e42207"/>
                    <pic:cNvPicPr>
                      <a:picLocks noChangeAspect="1"/>
                    </pic:cNvPicPr>
                  </pic:nvPicPr>
                  <pic:blipFill>
                    <a:blip r:embed="rId8"/>
                    <a:stretch>
                      <a:fillRect/>
                    </a:stretch>
                  </pic:blipFill>
                  <pic:spPr>
                    <a:xfrm>
                      <a:off x="0" y="0"/>
                      <a:ext cx="2059940" cy="1972945"/>
                    </a:xfrm>
                    <a:prstGeom prst="rect">
                      <a:avLst/>
                    </a:prstGeom>
                  </pic:spPr>
                </pic:pic>
              </a:graphicData>
            </a:graphic>
          </wp:inline>
        </w:drawing>
      </w: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所在行业最大特征：</w:t>
      </w:r>
    </w:p>
    <w:p>
      <w:pPr>
        <w:widowControl/>
        <w:numPr>
          <w:ilvl w:val="0"/>
          <w:numId w:val="0"/>
        </w:numPr>
        <w:spacing w:line="360" w:lineRule="auto"/>
        <w:jc w:val="left"/>
        <w:rPr>
          <w:rFonts w:hint="eastAsia"/>
          <w:sz w:val="24"/>
          <w:szCs w:val="24"/>
          <w:lang w:val="en-US" w:eastAsia="zh-CN"/>
        </w:rPr>
      </w:pPr>
      <w:r>
        <w:rPr>
          <w:rFonts w:hint="eastAsia"/>
          <w:b/>
          <w:bCs/>
          <w:sz w:val="24"/>
          <w:szCs w:val="24"/>
          <w:lang w:val="en-US" w:eastAsia="zh-CN"/>
        </w:rPr>
        <w:t>普蕾教育（游戏治疗）：</w:t>
      </w:r>
      <w:r>
        <w:rPr>
          <w:rFonts w:hint="eastAsia"/>
          <w:sz w:val="24"/>
          <w:szCs w:val="24"/>
          <w:lang w:val="en-US" w:eastAsia="zh-CN"/>
        </w:rPr>
        <w:t>寓教于乐，玩中发现</w:t>
      </w:r>
    </w:p>
    <w:p>
      <w:pPr>
        <w:widowControl/>
        <w:numPr>
          <w:ilvl w:val="0"/>
          <w:numId w:val="0"/>
        </w:numPr>
        <w:spacing w:line="360" w:lineRule="auto"/>
        <w:jc w:val="left"/>
        <w:rPr>
          <w:rFonts w:hint="eastAsia"/>
          <w:sz w:val="24"/>
          <w:szCs w:val="24"/>
          <w:lang w:val="en-US" w:eastAsia="zh-CN"/>
        </w:rPr>
      </w:pPr>
      <w:r>
        <w:rPr>
          <w:rFonts w:hint="eastAsia"/>
          <w:b/>
          <w:bCs/>
          <w:sz w:val="24"/>
          <w:szCs w:val="24"/>
          <w:lang w:val="en-US" w:eastAsia="zh-CN"/>
        </w:rPr>
        <w:t>心理咨询：</w:t>
      </w:r>
      <w:r>
        <w:rPr>
          <w:rFonts w:hint="eastAsia"/>
          <w:sz w:val="24"/>
          <w:szCs w:val="24"/>
          <w:lang w:val="en-US" w:eastAsia="zh-CN"/>
        </w:rPr>
        <w:t>尊重、热情、真诚、理解、积极关注</w:t>
      </w:r>
    </w:p>
    <w:p>
      <w:pPr>
        <w:widowControl/>
        <w:numPr>
          <w:ilvl w:val="0"/>
          <w:numId w:val="0"/>
        </w:numPr>
        <w:spacing w:line="360" w:lineRule="auto"/>
        <w:jc w:val="left"/>
        <w:rPr>
          <w:rFonts w:hint="default"/>
          <w:sz w:val="24"/>
          <w:szCs w:val="24"/>
          <w:lang w:val="en-US" w:eastAsia="zh-CN"/>
        </w:rPr>
      </w:pPr>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最能代表行业特征的事物：</w:t>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t>普蕾教育（游戏治疗）：孩子的笑容</w:t>
      </w:r>
    </w:p>
    <w:p>
      <w:pPr>
        <w:widowControl/>
        <w:numPr>
          <w:ilvl w:val="0"/>
          <w:numId w:val="0"/>
        </w:numPr>
        <w:spacing w:line="360" w:lineRule="auto"/>
        <w:jc w:val="left"/>
        <w:rPr>
          <w:rFonts w:hint="eastAsia"/>
          <w:sz w:val="24"/>
          <w:szCs w:val="24"/>
          <w:lang w:val="en-US" w:eastAsia="zh-CN"/>
        </w:rPr>
      </w:pPr>
    </w:p>
    <w:p>
      <w:pPr>
        <w:widowControl/>
        <w:numPr>
          <w:ilvl w:val="0"/>
          <w:numId w:val="0"/>
        </w:numPr>
        <w:spacing w:line="360" w:lineRule="auto"/>
        <w:jc w:val="left"/>
        <w:rPr>
          <w:rFonts w:hint="eastAsia"/>
          <w:b/>
          <w:bCs/>
          <w:sz w:val="24"/>
          <w:szCs w:val="24"/>
          <w:lang w:val="en-US" w:eastAsia="zh-CN"/>
        </w:rPr>
      </w:pPr>
      <w:r>
        <w:rPr>
          <w:rFonts w:hint="eastAsia"/>
          <w:b/>
          <w:bCs/>
          <w:sz w:val="24"/>
          <w:szCs w:val="24"/>
          <w:lang w:val="en-US" w:eastAsia="zh-CN"/>
        </w:rPr>
        <w:t>Logo需求：</w:t>
      </w:r>
    </w:p>
    <w:p>
      <w:pPr>
        <w:widowControl/>
        <w:numPr>
          <w:ilvl w:val="0"/>
          <w:numId w:val="0"/>
        </w:numPr>
        <w:spacing w:line="360" w:lineRule="auto"/>
        <w:jc w:val="left"/>
        <w:rPr>
          <w:rFonts w:hint="eastAsia"/>
          <w:sz w:val="24"/>
          <w:szCs w:val="24"/>
          <w:lang w:val="en-US" w:eastAsia="zh-CN"/>
        </w:rPr>
      </w:pPr>
      <w:r>
        <w:rPr>
          <w:rFonts w:hint="eastAsia"/>
          <w:sz w:val="24"/>
          <w:szCs w:val="24"/>
          <w:lang w:val="en-US" w:eastAsia="zh-CN"/>
        </w:rPr>
        <w:t>突出“PLAY”，活泼活跃一点，深墨绿作为主色系，再加上能活跃的色彩，总体活跃不失沉稳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E4155"/>
    <w:rsid w:val="032F0570"/>
    <w:rsid w:val="0543385E"/>
    <w:rsid w:val="07E75992"/>
    <w:rsid w:val="09414EB9"/>
    <w:rsid w:val="0A7857B8"/>
    <w:rsid w:val="10A05BF6"/>
    <w:rsid w:val="11CA2414"/>
    <w:rsid w:val="14A12BFB"/>
    <w:rsid w:val="1B9047B6"/>
    <w:rsid w:val="2AF8771E"/>
    <w:rsid w:val="30B604B5"/>
    <w:rsid w:val="36E939EA"/>
    <w:rsid w:val="389F364E"/>
    <w:rsid w:val="3F956769"/>
    <w:rsid w:val="40900984"/>
    <w:rsid w:val="482E4155"/>
    <w:rsid w:val="5368699B"/>
    <w:rsid w:val="55010C05"/>
    <w:rsid w:val="582A5176"/>
    <w:rsid w:val="5BC40EBE"/>
    <w:rsid w:val="6E411C32"/>
    <w:rsid w:val="6F3043D7"/>
    <w:rsid w:val="719D4019"/>
    <w:rsid w:val="72444271"/>
    <w:rsid w:val="72DA0D4E"/>
    <w:rsid w:val="750F777B"/>
    <w:rsid w:val="766E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2017-12-13T09:16:00Z</dcterms:created>
  <dc:creator>Administrator</dc:creator>
  <cp:lastModifiedBy>ETYX</cp:lastModifiedBy>
  <dcterms:modified xsi:type="dcterms:W3CDTF">2021-04-07T05:34:28Z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